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743" w:rsidRDefault="00562743" w:rsidP="005627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PHP-34102: Pharmacokinetics</w:t>
      </w:r>
    </w:p>
    <w:p w:rsidR="00562743" w:rsidRDefault="00562743" w:rsidP="005627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743" w:rsidRDefault="00562743" w:rsidP="00562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Dr. Imran Masood, PhD</w:t>
      </w:r>
    </w:p>
    <w:p w:rsidR="00562743" w:rsidRDefault="00562743" w:rsidP="00562743">
      <w:pPr>
        <w:jc w:val="center"/>
        <w:rPr>
          <w:rFonts w:asciiTheme="majorHAnsi" w:eastAsiaTheme="majorEastAsia" w:hAnsi="Gill Sans MT" w:cstheme="majorBidi"/>
          <w:b/>
          <w:color w:val="000000" w:themeColor="text1"/>
          <w:kern w:val="24"/>
          <w:sz w:val="36"/>
          <w:szCs w:val="32"/>
          <w:u w:val="single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drimranmasood@iub.edu.pk</w:t>
        </w:r>
      </w:hyperlink>
    </w:p>
    <w:p w:rsidR="006A2034" w:rsidRPr="00562743" w:rsidRDefault="00562743" w:rsidP="00562743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Correlation of Clinical Response w</w:t>
      </w:r>
      <w:r w:rsidR="006A2034" w:rsidRPr="00562743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ith Drug Disposition</w:t>
      </w:r>
    </w:p>
    <w:p w:rsidR="006A2034" w:rsidRDefault="006A2034" w:rsidP="006A2034">
      <w:pPr>
        <w:rPr>
          <w:rFonts w:asciiTheme="majorHAnsi" w:eastAsiaTheme="majorEastAsia" w:hAnsi="Gill Sans MT" w:cstheme="majorBidi"/>
          <w:b/>
          <w:color w:val="000000" w:themeColor="text1"/>
          <w:kern w:val="24"/>
          <w:sz w:val="32"/>
          <w:szCs w:val="32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>
        <w:rPr>
          <w:rFonts w:asciiTheme="majorHAnsi" w:eastAsiaTheme="majorEastAsia" w:hAnsi="Gill Sans MT" w:cstheme="majorBidi"/>
          <w:b/>
          <w:color w:val="000000" w:themeColor="text1"/>
          <w:kern w:val="24"/>
          <w:sz w:val="32"/>
          <w:szCs w:val="32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 xml:space="preserve">                                                                  </w:t>
      </w:r>
    </w:p>
    <w:p w:rsidR="00C64FC0" w:rsidRDefault="00C64FC0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562743" w:rsidRDefault="00562743" w:rsidP="006A2034">
      <w:pPr>
        <w:rPr>
          <w:rFonts w:asciiTheme="majorHAnsi" w:eastAsiaTheme="majorEastAsia" w:hAnsi="Gill Sans MT" w:cstheme="majorBidi"/>
          <w:color w:val="000000" w:themeColor="text1"/>
          <w:kern w:val="24"/>
          <w:sz w:val="28"/>
          <w:szCs w:val="28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C64FC0" w:rsidRPr="00562743" w:rsidRDefault="00C64FC0" w:rsidP="006A2034">
      <w:pPr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562743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lastRenderedPageBreak/>
        <w:t>Contents:</w:t>
      </w:r>
    </w:p>
    <w:p w:rsidR="00C64FC0" w:rsidRPr="00562743" w:rsidRDefault="00C64FC0" w:rsidP="00C64FC0">
      <w:pPr>
        <w:pStyle w:val="ListParagraph"/>
        <w:numPr>
          <w:ilvl w:val="0"/>
          <w:numId w:val="28"/>
        </w:numPr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562743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Introduction</w:t>
      </w:r>
    </w:p>
    <w:p w:rsidR="00A313B8" w:rsidRPr="00562743" w:rsidRDefault="00F956D8" w:rsidP="00C64FC0">
      <w:pPr>
        <w:pStyle w:val="ListParagraph"/>
        <w:numPr>
          <w:ilvl w:val="0"/>
          <w:numId w:val="28"/>
        </w:numP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562743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Pharmacokinetics and pharmacodynamics model</w:t>
      </w:r>
    </w:p>
    <w:p w:rsidR="00A313B8" w:rsidRPr="00562743" w:rsidRDefault="00F956D8" w:rsidP="00C64FC0">
      <w:pPr>
        <w:pStyle w:val="ListParagraph"/>
        <w:numPr>
          <w:ilvl w:val="0"/>
          <w:numId w:val="28"/>
        </w:numP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562743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Classification</w:t>
      </w:r>
    </w:p>
    <w:p w:rsidR="00A313B8" w:rsidRPr="00562743" w:rsidRDefault="00F956D8" w:rsidP="00C64FC0">
      <w:pPr>
        <w:pStyle w:val="ListParagraph"/>
        <w:numPr>
          <w:ilvl w:val="0"/>
          <w:numId w:val="28"/>
        </w:numP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562743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Applications</w:t>
      </w:r>
    </w:p>
    <w:p w:rsidR="00C64FC0" w:rsidRPr="00562743" w:rsidRDefault="00C64FC0" w:rsidP="00F956D8">
      <w:pPr>
        <w:pStyle w:val="ListParagrap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A2034" w:rsidRPr="00562743" w:rsidRDefault="006A2034" w:rsidP="006A2034">
      <w:pPr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bookmarkStart w:id="0" w:name="_GoBack"/>
      <w:bookmarkEnd w:id="0"/>
      <w:r w:rsidRPr="00562743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Introduction:</w:t>
      </w:r>
    </w:p>
    <w:p w:rsidR="006A2034" w:rsidRPr="00562743" w:rsidRDefault="006A2034" w:rsidP="006A2034">
      <w:pPr>
        <w:pStyle w:val="ListParagraph"/>
        <w:numPr>
          <w:ilvl w:val="0"/>
          <w:numId w:val="1"/>
        </w:numPr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The description of drug distribution and elimination is termed as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 xml:space="preserve">drug disposition 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     </w:t>
      </w:r>
    </w:p>
    <w:p w:rsidR="006A2034" w:rsidRPr="00562743" w:rsidRDefault="006A2034" w:rsidP="006A2034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The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clinical response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to treatment is an important indicator of the therapeutic effect of any drug. Its value and interpretation has to be carefully considered within the context that it is used.</w:t>
      </w:r>
    </w:p>
    <w:p w:rsidR="006A2034" w:rsidRPr="00562743" w:rsidRDefault="006A2034" w:rsidP="006A203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A2034" w:rsidRPr="00562743" w:rsidRDefault="006A2034" w:rsidP="006A203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A2034" w:rsidRPr="00562743" w:rsidRDefault="006A2034" w:rsidP="006A203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62743">
        <w:rPr>
          <w:rFonts w:ascii="Times New Roman" w:eastAsia="Arial Unicode MS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Pharmacokinetics</w:t>
      </w:r>
      <w:r w:rsidRPr="00562743">
        <w:rPr>
          <w:rFonts w:ascii="Times New Roman" w:eastAsia="Arial Unicode MS" w:hAnsi="Times New Roman" w:cs="Times New Roman"/>
          <w:b/>
          <w:color w:val="000000" w:themeColor="text1"/>
          <w:kern w:val="24"/>
          <w:sz w:val="24"/>
          <w:szCs w:val="24"/>
          <w:u w:val="single"/>
        </w:rPr>
        <w:t xml:space="preserve"> </w:t>
      </w:r>
      <w:r w:rsidRPr="00562743">
        <w:rPr>
          <w:rFonts w:ascii="Times New Roman" w:eastAsia="Arial Unicode MS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(PK):</w:t>
      </w:r>
    </w:p>
    <w:p w:rsidR="006A2034" w:rsidRPr="00562743" w:rsidRDefault="006A2034" w:rsidP="006A2034">
      <w:pPr>
        <w:spacing w:before="120" w:after="0" w:line="240" w:lineRule="auto"/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Is the study of what body does with a dose of a drug i.e </w:t>
      </w:r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 xml:space="preserve">absorbs, distributes, metabolizes, </w:t>
      </w:r>
      <w:proofErr w:type="gramStart"/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excretes</w:t>
      </w:r>
      <w:proofErr w:type="gramEnd"/>
    </w:p>
    <w:p w:rsidR="006A2034" w:rsidRPr="00562743" w:rsidRDefault="006A2034" w:rsidP="006A20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numPr>
          <w:ilvl w:val="0"/>
          <w:numId w:val="2"/>
        </w:numPr>
        <w:spacing w:before="120" w:after="0" w:line="240" w:lineRule="auto"/>
        <w:ind w:left="12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PK Endpoints: </w:t>
      </w:r>
      <w:proofErr w:type="gramStart"/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AUC,  Cmax</w:t>
      </w:r>
      <w:proofErr w:type="gramEnd"/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,  Tmax,  half-life , Cmin.</w:t>
      </w:r>
    </w:p>
    <w:p w:rsidR="006A2034" w:rsidRPr="00562743" w:rsidRDefault="006A2034" w:rsidP="006A2034">
      <w:pPr>
        <w:numPr>
          <w:ilvl w:val="0"/>
          <w:numId w:val="2"/>
        </w:numPr>
        <w:spacing w:before="120" w:after="0" w:line="240" w:lineRule="auto"/>
        <w:ind w:left="12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 xml:space="preserve">It involves the study of ADME </w:t>
      </w:r>
    </w:p>
    <w:p w:rsidR="006A2034" w:rsidRPr="00562743" w:rsidRDefault="006A2034" w:rsidP="006A2034">
      <w:pPr>
        <w:spacing w:before="120" w:after="0" w:line="240" w:lineRule="auto"/>
        <w:ind w:left="129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29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1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62743">
        <w:rPr>
          <w:rFonts w:ascii="Times New Roman" w:eastAsia="Arial Unicode MS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Pharmacodynamics</w:t>
      </w:r>
      <w:r w:rsidRPr="0056274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  <w:t xml:space="preserve">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 xml:space="preserve">(PD): </w:t>
      </w:r>
    </w:p>
    <w:p w:rsidR="006A2034" w:rsidRPr="00562743" w:rsidRDefault="006A2034" w:rsidP="006A2034">
      <w:pPr>
        <w:spacing w:before="11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Is the study of what the drug does to the </w:t>
      </w:r>
      <w:proofErr w:type="gramStart"/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body  (</w:t>
      </w:r>
      <w:proofErr w:type="gramEnd"/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dynamics = change)</w:t>
      </w:r>
    </w:p>
    <w:p w:rsidR="006A2034" w:rsidRPr="00562743" w:rsidRDefault="006A2034" w:rsidP="006A2034">
      <w:pPr>
        <w:pStyle w:val="ListParagraph"/>
        <w:numPr>
          <w:ilvl w:val="0"/>
          <w:numId w:val="3"/>
        </w:numPr>
        <w:spacing w:before="11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PD Endpoints</w:t>
      </w:r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:</w:t>
      </w:r>
      <w:r w:rsidRPr="00562743">
        <w:rPr>
          <w:rFonts w:ascii="Times New Roman" w:eastAsia="Arial Unicode MS" w:hAnsi="Times New Roman" w:cs="Times New Roman"/>
          <w:color w:val="0070C0"/>
          <w:kern w:val="24"/>
          <w:sz w:val="24"/>
          <w:szCs w:val="24"/>
        </w:rPr>
        <w:t xml:space="preserve"> </w:t>
      </w:r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Emax, EC50, IC50</w:t>
      </w:r>
    </w:p>
    <w:p w:rsidR="006A2034" w:rsidRPr="00562743" w:rsidRDefault="006A2034" w:rsidP="006A2034">
      <w:pPr>
        <w:pStyle w:val="ListParagraph"/>
        <w:numPr>
          <w:ilvl w:val="0"/>
          <w:numId w:val="3"/>
        </w:numPr>
        <w:spacing w:before="11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Arial Unicode MS" w:hAnsi="Times New Roman" w:cs="Times New Roman"/>
          <w:color w:val="000000" w:themeColor="text1"/>
          <w:kern w:val="24"/>
          <w:sz w:val="24"/>
          <w:szCs w:val="24"/>
        </w:rPr>
        <w:t>Refers to time course &amp; intensity of drug effects on the organism</w:t>
      </w:r>
    </w:p>
    <w:p w:rsidR="006A2034" w:rsidRDefault="006A2034" w:rsidP="00C5465B">
      <w:pPr>
        <w:spacing w:before="11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743" w:rsidRPr="00562743" w:rsidRDefault="00562743" w:rsidP="00C5465B">
      <w:pPr>
        <w:spacing w:before="11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C5465B">
      <w:pPr>
        <w:spacing w:before="120"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  <w:t>PK/PD Model:</w:t>
      </w:r>
    </w:p>
    <w:p w:rsidR="006A2034" w:rsidRPr="00562743" w:rsidRDefault="006A2034" w:rsidP="006A203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PK model: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Describes the time course of drug conc. In the plasma or blood</w:t>
      </w:r>
    </w:p>
    <w:p w:rsidR="006A2034" w:rsidRPr="00562743" w:rsidRDefault="006A2034" w:rsidP="00FD29F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PD model:</w:t>
      </w:r>
    </w:p>
    <w:p w:rsidR="006A2034" w:rsidRPr="00562743" w:rsidRDefault="006A2034" w:rsidP="00FD29FB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lastRenderedPageBreak/>
        <w:t>Describes the relationship between drug conc. at site of action &amp; effect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641951" wp14:editId="332C2659">
            <wp:extent cx="5324475" cy="2867025"/>
            <wp:effectExtent l="0" t="0" r="9525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C5465B" w:rsidRPr="00562743" w:rsidRDefault="00C5465B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  <w:t xml:space="preserve"> PK PD Models:</w:t>
      </w:r>
    </w:p>
    <w:p w:rsidR="006A2034" w:rsidRPr="00562743" w:rsidRDefault="006A2034" w:rsidP="006A2034">
      <w:pPr>
        <w:spacing w:before="120" w:after="0" w:line="240" w:lineRule="auto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 xml:space="preserve">To define the relationship between pharmacological response (i.e pharmacodynamics) to </w:t>
      </w:r>
      <w:r w:rsidR="00FD29FB"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 xml:space="preserve">plasma drug concentration (i.e. 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 xml:space="preserve">pharmacokinetics) </w:t>
      </w:r>
    </w:p>
    <w:p w:rsidR="00F956D8" w:rsidRPr="00562743" w:rsidRDefault="00F956D8" w:rsidP="006A2034">
      <w:pPr>
        <w:spacing w:before="120" w:after="0" w:line="240" w:lineRule="auto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</w:pPr>
    </w:p>
    <w:p w:rsidR="00F956D8" w:rsidRPr="00562743" w:rsidRDefault="00F956D8" w:rsidP="006A2034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FD29FB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A2034" w:rsidRPr="00562743" w:rsidRDefault="006A2034" w:rsidP="00FD29FB">
      <w:pPr>
        <w:spacing w:before="120" w:after="0"/>
        <w:contextualSpacing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val="en-CA"/>
        </w:rPr>
        <w:t xml:space="preserve">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  <w:t>Classification:</w:t>
      </w:r>
    </w:p>
    <w:p w:rsidR="006A2034" w:rsidRPr="00562743" w:rsidRDefault="006A2034" w:rsidP="00FD29FB">
      <w:pPr>
        <w:pStyle w:val="ListParagraph"/>
        <w:numPr>
          <w:ilvl w:val="0"/>
          <w:numId w:val="5"/>
        </w:numPr>
        <w:spacing w:before="120" w:after="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 xml:space="preserve">Three different types of models are used </w:t>
      </w:r>
    </w:p>
    <w:p w:rsidR="006A2034" w:rsidRPr="00562743" w:rsidRDefault="006A2034" w:rsidP="00FD29FB">
      <w:pPr>
        <w:pStyle w:val="ListParagraph"/>
        <w:spacing w:before="120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FD29FB">
      <w:pPr>
        <w:pStyle w:val="ListParagraph"/>
        <w:numPr>
          <w:ilvl w:val="0"/>
          <w:numId w:val="4"/>
        </w:numPr>
        <w:spacing w:before="120" w:after="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>Pharmacodynamics-Pharmacokinetic model at Css</w:t>
      </w:r>
    </w:p>
    <w:p w:rsidR="006A2034" w:rsidRPr="00562743" w:rsidRDefault="006A2034" w:rsidP="00FD29FB">
      <w:pPr>
        <w:pStyle w:val="ListParagraph"/>
        <w:numPr>
          <w:ilvl w:val="0"/>
          <w:numId w:val="4"/>
        </w:numPr>
        <w:spacing w:before="120"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 xml:space="preserve">Pharmacodynamics-Pharmacokinetic  </w:t>
      </w:r>
    </w:p>
    <w:p w:rsidR="006A2034" w:rsidRPr="00562743" w:rsidRDefault="006A2034" w:rsidP="00FD29FB">
      <w:pPr>
        <w:pStyle w:val="ListParagraph"/>
        <w:numPr>
          <w:ilvl w:val="0"/>
          <w:numId w:val="4"/>
        </w:numPr>
        <w:spacing w:before="120" w:after="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>Physiologic-Pharmacokinetic model</w:t>
      </w:r>
    </w:p>
    <w:p w:rsidR="006A2034" w:rsidRPr="00562743" w:rsidRDefault="006A2034" w:rsidP="00FD29FB">
      <w:pPr>
        <w:pStyle w:val="ListParagraph"/>
        <w:spacing w:before="120"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</w:pPr>
    </w:p>
    <w:p w:rsidR="006A2034" w:rsidRPr="00562743" w:rsidRDefault="006A2034" w:rsidP="006A2034">
      <w:pPr>
        <w:pStyle w:val="ListParagraph"/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  <w:t>Pharmacodynamics-Pharmacokinetic model at Css:</w:t>
      </w:r>
    </w:p>
    <w:p w:rsidR="006A2034" w:rsidRPr="00562743" w:rsidRDefault="006A2034" w:rsidP="006A2034">
      <w:pPr>
        <w:pStyle w:val="ListParagraph"/>
        <w:numPr>
          <w:ilvl w:val="0"/>
          <w:numId w:val="6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>The Fixed-Effect model</w:t>
      </w:r>
    </w:p>
    <w:p w:rsidR="006A2034" w:rsidRPr="00562743" w:rsidRDefault="006A2034" w:rsidP="006A2034">
      <w:pPr>
        <w:pStyle w:val="ListParagraph"/>
        <w:numPr>
          <w:ilvl w:val="0"/>
          <w:numId w:val="6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>The Linear model</w:t>
      </w:r>
    </w:p>
    <w:p w:rsidR="006A2034" w:rsidRPr="00562743" w:rsidRDefault="006A2034" w:rsidP="006A2034">
      <w:pPr>
        <w:pStyle w:val="ListParagraph"/>
        <w:numPr>
          <w:ilvl w:val="0"/>
          <w:numId w:val="6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lastRenderedPageBreak/>
        <w:t>The Log-linear model</w:t>
      </w:r>
    </w:p>
    <w:p w:rsidR="006A2034" w:rsidRPr="00562743" w:rsidRDefault="006A2034" w:rsidP="006A2034">
      <w:pPr>
        <w:pStyle w:val="ListParagraph"/>
        <w:numPr>
          <w:ilvl w:val="0"/>
          <w:numId w:val="6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  <w:t>The Non-linear model</w:t>
      </w:r>
    </w:p>
    <w:p w:rsidR="006A2034" w:rsidRPr="00562743" w:rsidRDefault="006A2034" w:rsidP="006A2034">
      <w:pPr>
        <w:pStyle w:val="ListParagraph"/>
        <w:spacing w:before="120" w:after="0" w:line="36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</w:pPr>
    </w:p>
    <w:p w:rsidR="006A2034" w:rsidRPr="00562743" w:rsidRDefault="006A2034" w:rsidP="006A2034">
      <w:pPr>
        <w:pStyle w:val="ListParagraph"/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36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CA"/>
        </w:rPr>
      </w:pPr>
      <w:r w:rsidRPr="00562743"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  <w:t>The Fixed-Effect model:</w:t>
      </w:r>
    </w:p>
    <w:p w:rsidR="006A2034" w:rsidRPr="00562743" w:rsidRDefault="006A2034" w:rsidP="006A2034">
      <w:pPr>
        <w:pStyle w:val="ListParagraph"/>
        <w:numPr>
          <w:ilvl w:val="0"/>
          <w:numId w:val="5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drug concentration in plasma to a fix effect which may be either present or absent</w:t>
      </w:r>
    </w:p>
    <w:p w:rsidR="006A2034" w:rsidRPr="00562743" w:rsidRDefault="006A2034" w:rsidP="006A2034">
      <w:pPr>
        <w:pStyle w:val="ListParagraph"/>
        <w:numPr>
          <w:ilvl w:val="0"/>
          <w:numId w:val="5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fixed effect model has only one parameter</w:t>
      </w:r>
    </w:p>
    <w:p w:rsidR="006A2034" w:rsidRPr="00562743" w:rsidRDefault="006A2034" w:rsidP="006A2034">
      <w:pPr>
        <w:pStyle w:val="ListParagraph"/>
        <w:numPr>
          <w:ilvl w:val="0"/>
          <w:numId w:val="5"/>
        </w:num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concentration at which effect appears or an undesireable effect disappears</w:t>
      </w:r>
    </w:p>
    <w:p w:rsidR="006A2034" w:rsidRPr="00562743" w:rsidRDefault="006A2034" w:rsidP="006A2034">
      <w:pPr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Example:  </w:t>
      </w:r>
    </w:p>
    <w:p w:rsidR="006A2034" w:rsidRPr="00562743" w:rsidRDefault="006A2034" w:rsidP="006A2034">
      <w:pPr>
        <w:pStyle w:val="ListParagraph"/>
        <w:numPr>
          <w:ilvl w:val="0"/>
          <w:numId w:val="5"/>
        </w:numPr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Multi-vitamins</w:t>
      </w:r>
    </w:p>
    <w:p w:rsidR="006A2034" w:rsidRPr="00562743" w:rsidRDefault="006A2034" w:rsidP="006A2034">
      <w:pPr>
        <w:pStyle w:val="ListParagraph"/>
        <w:numPr>
          <w:ilvl w:val="0"/>
          <w:numId w:val="5"/>
        </w:numPr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Predict the response of digoxin &amp; phenytoin at steady state concentration.</w:t>
      </w:r>
    </w:p>
    <w:p w:rsidR="006A2034" w:rsidRPr="00562743" w:rsidRDefault="006A2034" w:rsidP="00C5465B">
      <w:pPr>
        <w:pStyle w:val="ListParagraph"/>
        <w:numPr>
          <w:ilvl w:val="0"/>
          <w:numId w:val="5"/>
        </w:numPr>
        <w:spacing w:before="120" w:after="0" w:line="36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Phenytoin decrease</w:t>
      </w:r>
      <w:r w:rsidR="00FD29FB"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the time course of digoxin concentration in serum, then increase digoxin clearance. No pharmacokinetic change in phenytoin when it is coadminister with digoxin.</w:t>
      </w:r>
    </w:p>
    <w:p w:rsidR="006A2034" w:rsidRPr="00562743" w:rsidRDefault="006A2034" w:rsidP="006A2034">
      <w:pPr>
        <w:pStyle w:val="ListParagraph"/>
        <w:spacing w:before="120" w:after="0" w:line="36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D29FB" w:rsidRPr="00562743" w:rsidRDefault="00FD29FB" w:rsidP="006A2034">
      <w:pPr>
        <w:pStyle w:val="ListParagraph"/>
        <w:spacing w:before="12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</w:p>
    <w:p w:rsidR="00FD29FB" w:rsidRPr="00562743" w:rsidRDefault="00FD29FB" w:rsidP="006A2034">
      <w:pPr>
        <w:pStyle w:val="ListParagraph"/>
        <w:spacing w:before="12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</w:p>
    <w:p w:rsidR="00FD29FB" w:rsidRPr="00562743" w:rsidRDefault="00FD29FB" w:rsidP="006A2034">
      <w:pPr>
        <w:pStyle w:val="ListParagraph"/>
        <w:spacing w:before="12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</w:p>
    <w:p w:rsidR="00FD29FB" w:rsidRPr="00562743" w:rsidRDefault="00FD29FB" w:rsidP="006A2034">
      <w:pPr>
        <w:pStyle w:val="ListParagraph"/>
        <w:spacing w:before="12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</w:p>
    <w:p w:rsidR="006A2034" w:rsidRPr="00562743" w:rsidRDefault="006A2034" w:rsidP="006A2034">
      <w:pPr>
        <w:pStyle w:val="ListParagraph"/>
        <w:spacing w:before="12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  <w:t>The Linear model:</w:t>
      </w:r>
    </w:p>
    <w:p w:rsidR="006A2034" w:rsidRPr="00562743" w:rsidRDefault="006A2034" w:rsidP="006A2034">
      <w:pPr>
        <w:pStyle w:val="ListParagraph"/>
        <w:spacing w:before="12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linear relationship between the plasma concentration of a drug &amp;    intensity of a pharmacological response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          Y= m (x) + b                                         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hAnsi="Times New Roman" w:cs="Times New Roman"/>
          <w:noProof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         Y= 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>Dependent variable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         m= 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>Slope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         X</w:t>
      </w:r>
      <w:proofErr w:type="gramStart"/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= 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Independent</w:t>
      </w:r>
      <w:proofErr w:type="gramEnd"/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variable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         b</w:t>
      </w:r>
      <w:proofErr w:type="gramStart"/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=  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>y</w:t>
      </w:r>
      <w:proofErr w:type="gramEnd"/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>-intercept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2FE70C" wp14:editId="73BF764C">
            <wp:extent cx="4467225" cy="2562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985" cy="256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1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1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  <w:t>The Log-linear model:</w:t>
      </w:r>
    </w:p>
    <w:p w:rsidR="00C5465B" w:rsidRPr="00562743" w:rsidRDefault="00C5465B" w:rsidP="006A2034">
      <w:pPr>
        <w:pStyle w:val="ListParagraph"/>
        <w:spacing w:before="110" w:after="0" w:line="360" w:lineRule="auto"/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</w:p>
    <w:p w:rsidR="006A2034" w:rsidRPr="00562743" w:rsidRDefault="006A2034" w:rsidP="006A2034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>It is based upon empirical plot of response versus logarithm of dose, plasma concentration or amount of drug in the body</w:t>
      </w:r>
    </w:p>
    <w:p w:rsidR="006A2034" w:rsidRPr="00562743" w:rsidRDefault="006A2034" w:rsidP="006A2034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The resulting effect is not </w:t>
      </w:r>
      <w:proofErr w:type="gramStart"/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>linear,</w:t>
      </w:r>
      <w:proofErr w:type="gramEnd"/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 it may be curvilinear</w:t>
      </w:r>
    </w:p>
    <w:p w:rsidR="006A2034" w:rsidRPr="00562743" w:rsidRDefault="006A2034" w:rsidP="006A2034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>Yields typical sigmoid dose- response curve</w:t>
      </w:r>
    </w:p>
    <w:p w:rsidR="00C5465B" w:rsidRPr="00562743" w:rsidRDefault="00C5465B" w:rsidP="00C5465B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</w:pPr>
    </w:p>
    <w:p w:rsidR="00C5465B" w:rsidRPr="00562743" w:rsidRDefault="00C5465B" w:rsidP="00C5465B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                  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>E= S.log C + E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  <w:t>0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</w:pP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  <w:t xml:space="preserve">                                      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</w:rPr>
        <w:t>E=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Effect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                           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</w:rPr>
        <w:t>S=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Slope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                   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</w:rPr>
        <w:t>Log C=</w:t>
      </w: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Concentration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                      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</w:rPr>
        <w:t>E</w:t>
      </w:r>
      <w:proofErr w:type="gramStart"/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  <w:t>0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</w:rPr>
        <w:t xml:space="preserve">  =</w:t>
      </w:r>
      <w:proofErr w:type="gramEnd"/>
      <w:r w:rsidRPr="00562743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  <w:t xml:space="preserve">   Baseline effect</w:t>
      </w:r>
    </w:p>
    <w:p w:rsidR="00C5465B" w:rsidRPr="00562743" w:rsidRDefault="00C5465B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</w:p>
    <w:p w:rsidR="00C5465B" w:rsidRPr="00562743" w:rsidRDefault="00C5465B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</w:p>
    <w:p w:rsidR="00C5465B" w:rsidRPr="00562743" w:rsidRDefault="00C5465B" w:rsidP="006A2034">
      <w:pPr>
        <w:spacing w:before="120" w:after="0" w:line="240" w:lineRule="auto"/>
        <w:ind w:left="130"/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-12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ind w:left="129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465B" w:rsidRPr="00562743" w:rsidRDefault="006A2034" w:rsidP="006A2034">
      <w:pPr>
        <w:rPr>
          <w:rFonts w:ascii="Times New Roman" w:hAnsi="Times New Roman" w:cs="Times New Roman"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101A77D" wp14:editId="378313F8">
            <wp:extent cx="4733925" cy="2447027"/>
            <wp:effectExtent l="0" t="0" r="0" b="0"/>
            <wp:docPr id="3" name="Picture 2" descr="C:\Users\nice to meet yo`u\Desktop\Screenshot_20190518_16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nice to meet yo`u\Desktop\Screenshot_20190518_161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72" t="10101" r="23957"/>
                    <a:stretch/>
                  </pic:blipFill>
                  <pic:spPr bwMode="auto">
                    <a:xfrm>
                      <a:off x="0" y="0"/>
                      <a:ext cx="4740161" cy="245025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C5465B" w:rsidRPr="00562743" w:rsidRDefault="00C5465B" w:rsidP="006A2034">
      <w:pPr>
        <w:rPr>
          <w:rFonts w:ascii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D0D0D" w:themeColor="text1" w:themeTint="F2"/>
          <w:kern w:val="24"/>
          <w:sz w:val="24"/>
          <w:szCs w:val="24"/>
          <w:u w:val="single"/>
        </w:rPr>
        <w:t>The Non-linear model:</w:t>
      </w:r>
    </w:p>
    <w:p w:rsidR="006A2034" w:rsidRPr="00562743" w:rsidRDefault="006A2034" w:rsidP="006A2034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>This model relates the intensity of pharmacological response (</w:t>
      </w:r>
      <w:proofErr w:type="gramStart"/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R)   </w:t>
      </w:r>
      <w:proofErr w:type="gramEnd"/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>to concentration (C) of a drug in the body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 </w:t>
      </w:r>
    </w:p>
    <w:p w:rsidR="006A2034" w:rsidRPr="00562743" w:rsidRDefault="006A2034" w:rsidP="006A2034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>This technique utilizes the Hill equation to relate the intensity of pharmacologic response (R) to the concentration (C) of drug in the body fluids according to the following equation:</w:t>
      </w:r>
    </w:p>
    <w:p w:rsidR="006A2034" w:rsidRPr="00562743" w:rsidRDefault="006A2034" w:rsidP="006A2034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</w:rPr>
        <w:t xml:space="preserve">                        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>R= (</w:t>
      </w:r>
      <w:proofErr w:type="gramStart"/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>R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  <w:t>m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.</w:t>
      </w:r>
      <w:proofErr w:type="gramEnd"/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C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  <w:t>s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>)</w:t>
      </w:r>
      <w:proofErr w:type="gramStart"/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>/[</w:t>
      </w:r>
      <w:proofErr w:type="gramEnd"/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>(1/ Q) + C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position w:val="-12"/>
          <w:sz w:val="24"/>
          <w:szCs w:val="24"/>
          <w:vertAlign w:val="subscript"/>
        </w:rPr>
        <w:t>s</w:t>
      </w:r>
      <w:r w:rsidRPr="00562743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</w:rPr>
        <w:t>]</w:t>
      </w:r>
    </w:p>
    <w:p w:rsidR="006A2034" w:rsidRPr="00562743" w:rsidRDefault="006A2034" w:rsidP="006A2034">
      <w:pPr>
        <w:pStyle w:val="ListParagraph"/>
        <w:numPr>
          <w:ilvl w:val="0"/>
          <w:numId w:val="9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Calibri" w:hAnsi="Times New Roman" w:cs="Times New Roman"/>
          <w:b/>
          <w:bCs/>
          <w:color w:val="000000"/>
          <w:kern w:val="24"/>
          <w:sz w:val="24"/>
          <w:szCs w:val="24"/>
        </w:rPr>
        <w:t>R</w:t>
      </w:r>
      <w:r w:rsidRPr="00562743">
        <w:rPr>
          <w:rFonts w:ascii="Times New Roman" w:eastAsia="Calibri" w:hAnsi="Times New Roman" w:cs="Times New Roman"/>
          <w:b/>
          <w:bCs/>
          <w:color w:val="000000"/>
          <w:kern w:val="24"/>
          <w:position w:val="-12"/>
          <w:sz w:val="24"/>
          <w:szCs w:val="24"/>
          <w:vertAlign w:val="subscript"/>
        </w:rPr>
        <w:t>m</w:t>
      </w: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, is the maximum intensity of response, </w:t>
      </w:r>
      <w:r w:rsidRPr="00562743">
        <w:rPr>
          <w:rFonts w:ascii="Times New Roman" w:eastAsiaTheme="minorEastAsia" w:hAnsi="Times New Roman" w:cs="Times New Roman"/>
          <w:b/>
          <w:bCs/>
          <w:color w:val="0D0D0D" w:themeColor="text1" w:themeTint="F2"/>
          <w:kern w:val="24"/>
          <w:sz w:val="24"/>
          <w:szCs w:val="24"/>
        </w:rPr>
        <w:t>Q</w:t>
      </w: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 is a constant related to the affinity of the drug for the receptor, and </w:t>
      </w:r>
      <w:r w:rsidRPr="00562743">
        <w:rPr>
          <w:rFonts w:ascii="Times New Roman" w:eastAsiaTheme="minorEastAsia" w:hAnsi="Times New Roman" w:cs="Times New Roman"/>
          <w:b/>
          <w:bCs/>
          <w:color w:val="0D0D0D" w:themeColor="text1" w:themeTint="F2"/>
          <w:kern w:val="24"/>
          <w:sz w:val="24"/>
          <w:szCs w:val="24"/>
        </w:rPr>
        <w:t>S</w:t>
      </w:r>
      <w:r w:rsidRPr="00562743">
        <w:rPr>
          <w:rFonts w:ascii="Times New Roman" w:eastAsiaTheme="minorEastAsia" w:hAnsi="Times New Roman" w:cs="Times New Roman"/>
          <w:color w:val="0D0D0D" w:themeColor="text1" w:themeTint="F2"/>
          <w:kern w:val="24"/>
          <w:sz w:val="24"/>
          <w:szCs w:val="24"/>
        </w:rPr>
        <w:t xml:space="preserve"> is a constant that relates the changes in response to the change in concentration.</w:t>
      </w: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  <w:lang w:val="en-CA"/>
        </w:rPr>
        <w:t>Pharmacodynamics-Pharmacokinetic model:</w:t>
      </w:r>
    </w:p>
    <w:p w:rsidR="006A2034" w:rsidRPr="00562743" w:rsidRDefault="006A2034" w:rsidP="006A2034">
      <w:pPr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This model correlates the observed response with the concentration or amount of drug in one or more pharmacokinetic compartment</w:t>
      </w:r>
    </w:p>
    <w:p w:rsidR="006A2034" w:rsidRPr="00562743" w:rsidRDefault="006A2034" w:rsidP="006A20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F9" w:rsidRPr="00562743" w:rsidRDefault="006A2034" w:rsidP="00FD29FB">
      <w:pPr>
        <w:pStyle w:val="ListParagraph"/>
        <w:numPr>
          <w:ilvl w:val="0"/>
          <w:numId w:val="9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For this model, no assumption of steady state is required </w:t>
      </w:r>
    </w:p>
    <w:p w:rsidR="006A2034" w:rsidRPr="00562743" w:rsidRDefault="006A2034" w:rsidP="006A2034">
      <w:pPr>
        <w:pStyle w:val="ListParagraph"/>
        <w:numPr>
          <w:ilvl w:val="0"/>
          <w:numId w:val="9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This model consists of following models</w:t>
      </w:r>
    </w:p>
    <w:p w:rsidR="005441F9" w:rsidRPr="00562743" w:rsidRDefault="00562743" w:rsidP="006A2034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numPr>
          <w:ilvl w:val="0"/>
          <w:numId w:val="1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lastRenderedPageBreak/>
        <w:t>Central compartment response model</w:t>
      </w:r>
    </w:p>
    <w:p w:rsidR="006A2034" w:rsidRPr="00562743" w:rsidRDefault="006A2034" w:rsidP="006A2034">
      <w:pPr>
        <w:pStyle w:val="ListParagraph"/>
        <w:numPr>
          <w:ilvl w:val="0"/>
          <w:numId w:val="1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Tissue compartment response model</w:t>
      </w:r>
    </w:p>
    <w:p w:rsidR="006A2034" w:rsidRPr="00562743" w:rsidRDefault="006A2034" w:rsidP="006A2034">
      <w:pPr>
        <w:pStyle w:val="ListParagraph"/>
        <w:numPr>
          <w:ilvl w:val="0"/>
          <w:numId w:val="1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Multi compartment response model</w:t>
      </w:r>
    </w:p>
    <w:p w:rsidR="006A2034" w:rsidRPr="00562743" w:rsidRDefault="006A2034" w:rsidP="006A2034">
      <w:pPr>
        <w:pStyle w:val="ListParagraph"/>
        <w:numPr>
          <w:ilvl w:val="0"/>
          <w:numId w:val="1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Effect compartment model</w:t>
      </w:r>
    </w:p>
    <w:p w:rsidR="006A2034" w:rsidRPr="00562743" w:rsidRDefault="006A2034" w:rsidP="006A2034">
      <w:pPr>
        <w:pStyle w:val="ListParagraph"/>
        <w:numPr>
          <w:ilvl w:val="0"/>
          <w:numId w:val="1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Pharmacokinetic model-independent model</w:t>
      </w: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C64FC0" w:rsidRPr="00562743" w:rsidRDefault="00C64FC0" w:rsidP="006A2034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FD29FB">
      <w:pPr>
        <w:pStyle w:val="ListParagraph"/>
        <w:numPr>
          <w:ilvl w:val="0"/>
          <w:numId w:val="33"/>
        </w:num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Central compartment response model:</w:t>
      </w:r>
    </w:p>
    <w:p w:rsidR="00C64FC0" w:rsidRPr="00562743" w:rsidRDefault="00C64FC0" w:rsidP="00C64FC0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It </w:t>
      </w:r>
      <w:proofErr w:type="gramStart"/>
      <w:r w:rsidRPr="00562743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consist</w:t>
      </w:r>
      <w:proofErr w:type="gramEnd"/>
      <w:r w:rsidRPr="00562743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of well-perfused organs like heart, blood, liver &amp; brain</w:t>
      </w:r>
    </w:p>
    <w:p w:rsidR="00C64FC0" w:rsidRPr="00562743" w:rsidRDefault="00C64FC0" w:rsidP="00C64FC0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Distribution of drug is instantaneous</w:t>
      </w:r>
    </w:p>
    <w:p w:rsidR="006A2034" w:rsidRPr="00562743" w:rsidRDefault="006A2034" w:rsidP="00C64FC0">
      <w:pPr>
        <w:spacing w:before="120" w:after="0" w:line="240" w:lineRule="auto"/>
        <w:ind w:left="360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</w:p>
    <w:p w:rsidR="006A2034" w:rsidRPr="00562743" w:rsidRDefault="006A2034" w:rsidP="006A2034">
      <w:pPr>
        <w:pStyle w:val="ListParagraph"/>
        <w:numPr>
          <w:ilvl w:val="0"/>
          <w:numId w:val="1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Relates the drug concentration in the central compartment to the observed pharmacological effect</w:t>
      </w:r>
    </w:p>
    <w:p w:rsidR="006A2034" w:rsidRPr="00562743" w:rsidRDefault="006A2034" w:rsidP="006A2034">
      <w:pPr>
        <w:pStyle w:val="ListParagraph"/>
        <w:numPr>
          <w:ilvl w:val="0"/>
          <w:numId w:val="1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This approach can be used when a linear relationship or a nonlinear relationship exists between drug concentration &amp; effect</w:t>
      </w:r>
    </w:p>
    <w:p w:rsidR="00C64FC0" w:rsidRPr="00562743" w:rsidRDefault="00C64FC0" w:rsidP="00C64FC0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C64FC0" w:rsidRPr="00562743" w:rsidRDefault="00C64FC0" w:rsidP="00C64FC0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FD29FB">
      <w:pPr>
        <w:pStyle w:val="ListParagraph"/>
        <w:numPr>
          <w:ilvl w:val="0"/>
          <w:numId w:val="33"/>
        </w:num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Tissue compartment response model:</w:t>
      </w:r>
    </w:p>
    <w:p w:rsidR="006A2034" w:rsidRPr="00562743" w:rsidRDefault="006A2034" w:rsidP="006A2034">
      <w:pPr>
        <w:pStyle w:val="ListParagraph"/>
        <w:numPr>
          <w:ilvl w:val="0"/>
          <w:numId w:val="1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Correlates the concentration of drug in the peripheral compartment (i.e tissue) with the pharmacological    response</w:t>
      </w: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numPr>
          <w:ilvl w:val="0"/>
          <w:numId w:val="1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As this concentration is predicted from plasma pharmacokinetic data &amp; tissue concentration versus effect profile can be achieved</w:t>
      </w:r>
    </w:p>
    <w:p w:rsidR="006A2034" w:rsidRPr="00562743" w:rsidRDefault="006A2034" w:rsidP="006A2034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FD29FB">
      <w:pPr>
        <w:pStyle w:val="ListParagraph"/>
        <w:numPr>
          <w:ilvl w:val="0"/>
          <w:numId w:val="33"/>
        </w:num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Multi compartment response model:</w:t>
      </w:r>
    </w:p>
    <w:p w:rsidR="006A2034" w:rsidRPr="00562743" w:rsidRDefault="006A2034" w:rsidP="006A2034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This model expresses response or amount of drug in one or more compartment of an appropriate PK function</w:t>
      </w: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spacing w:before="120"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</w:t>
      </w:r>
      <w:r w:rsidRPr="0056274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Pharmacokinetic model-independent model:</w:t>
      </w:r>
    </w:p>
    <w:p w:rsidR="006A2034" w:rsidRPr="00562743" w:rsidRDefault="006A2034" w:rsidP="006A2034">
      <w:pPr>
        <w:spacing w:before="120" w:after="0" w:line="240" w:lineRule="auto"/>
        <w:ind w:left="130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It is direct relationship between response &amp; drug concentration in plasma or serum</w:t>
      </w:r>
    </w:p>
    <w:p w:rsidR="006A2034" w:rsidRPr="00562743" w:rsidRDefault="006A2034" w:rsidP="006A2034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relationship between concentration &amp; response collected at the same time</w:t>
      </w:r>
    </w:p>
    <w:p w:rsidR="006A2034" w:rsidRPr="00562743" w:rsidRDefault="006A2034" w:rsidP="006A2034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For example: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heart rate change</w:t>
      </w:r>
    </w:p>
    <w:p w:rsidR="006A2034" w:rsidRPr="00562743" w:rsidRDefault="000A4983" w:rsidP="000A4983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Beta blocker used in treatment of high blood pressure. Concentration is directly proportional to response</w:t>
      </w:r>
    </w:p>
    <w:p w:rsidR="000A4983" w:rsidRPr="00562743" w:rsidRDefault="000A4983" w:rsidP="000A4983">
      <w:pPr>
        <w:pStyle w:val="ListParagraph"/>
        <w:numPr>
          <w:ilvl w:val="0"/>
          <w:numId w:val="12"/>
        </w:numPr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As concentration increases, response increases. So both concentration &amp; response collect at same time</w:t>
      </w:r>
    </w:p>
    <w:p w:rsidR="000A4983" w:rsidRPr="00562743" w:rsidRDefault="000A4983" w:rsidP="000A4983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FD29FB">
      <w:pPr>
        <w:pStyle w:val="ListParagraph"/>
        <w:numPr>
          <w:ilvl w:val="0"/>
          <w:numId w:val="33"/>
        </w:num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Effect compartment model (Emax model):</w:t>
      </w:r>
    </w:p>
    <w:p w:rsidR="006A2034" w:rsidRPr="00562743" w:rsidRDefault="006A2034" w:rsidP="006A2034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It is also referred to as sigmoid Emax model</w:t>
      </w:r>
    </w:p>
    <w:p w:rsidR="006A2034" w:rsidRPr="00562743" w:rsidRDefault="006A2034" w:rsidP="006A2034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lastRenderedPageBreak/>
        <w:t>Emax model describes the relationship between concentration &amp; effect</w:t>
      </w: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6A2034" w:rsidRPr="00562743" w:rsidRDefault="006A2034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465B" w:rsidRPr="00562743" w:rsidRDefault="006A2034" w:rsidP="00FD29FB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1FFFDC1" wp14:editId="44B6ADE7">
            <wp:extent cx="2543175" cy="619125"/>
            <wp:effectExtent l="0" t="0" r="9525" b="9525"/>
            <wp:docPr id="4" name="Picture 4" descr="C:\Users\nice to meet yo`u\Desktop\Screenshot_20190519_011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nice to meet yo`u\Desktop\Screenshot_20190519_01130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6191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C5465B" w:rsidRPr="00562743" w:rsidRDefault="00C5465B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Emax = maximal effect</w:t>
      </w:r>
    </w:p>
    <w:p w:rsidR="006A2034" w:rsidRPr="00562743" w:rsidRDefault="006A2034" w:rsidP="006A2034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EC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position w:val="-12"/>
          <w:sz w:val="24"/>
          <w:szCs w:val="24"/>
          <w:vertAlign w:val="subscript"/>
        </w:rPr>
        <w:t xml:space="preserve">50   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= produces 50% maximum pharmacological effect</w:t>
      </w:r>
    </w:p>
    <w:p w:rsidR="006A2034" w:rsidRPr="00562743" w:rsidRDefault="006A2034" w:rsidP="006A2034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      = plasma concentration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31C086C" wp14:editId="557BF0EC">
            <wp:extent cx="2743200" cy="2105025"/>
            <wp:effectExtent l="0" t="0" r="0" b="952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6" t="23558" r="56327" b="18677"/>
                    <a:stretch/>
                  </pic:blipFill>
                  <pic:spPr bwMode="auto">
                    <a:xfrm>
                      <a:off x="0" y="0"/>
                      <a:ext cx="27432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5465B" w:rsidRPr="00562743" w:rsidRDefault="00C5465B" w:rsidP="00835CB9">
      <w:pPr>
        <w:pStyle w:val="ListParagraph"/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</w:p>
    <w:p w:rsidR="00835CB9" w:rsidRPr="00562743" w:rsidRDefault="00835CB9" w:rsidP="00FD29FB">
      <w:pPr>
        <w:pStyle w:val="ListParagraph"/>
        <w:numPr>
          <w:ilvl w:val="0"/>
          <w:numId w:val="3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Physiologic pharmacokinetic model: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FD29FB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This model used to describe the effects that are attributed to a drug</w:t>
      </w:r>
    </w:p>
    <w:p w:rsidR="00835CB9" w:rsidRPr="00562743" w:rsidRDefault="00835CB9" w:rsidP="00FD29FB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But effects are mediated by some indirect mechanism</w:t>
      </w:r>
    </w:p>
    <w:p w:rsidR="00835CB9" w:rsidRPr="00562743" w:rsidRDefault="00835CB9" w:rsidP="00FD29FB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Which is located separately from the true site of drug action</w:t>
      </w:r>
    </w:p>
    <w:p w:rsidR="00835CB9" w:rsidRPr="00562743" w:rsidRDefault="00835CB9" w:rsidP="00835CB9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For example:</w:t>
      </w: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prothrombin time to predict the anticoagulant effect of warfarin</w:t>
      </w:r>
    </w:p>
    <w:p w:rsidR="00C64FC0" w:rsidRPr="00562743" w:rsidRDefault="00C64FC0" w:rsidP="00C64FC0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Prothrombin time measures how long it to take blood to clot</w:t>
      </w:r>
    </w:p>
    <w:p w:rsidR="00C64FC0" w:rsidRPr="00562743" w:rsidRDefault="00C64FC0" w:rsidP="00C64FC0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More thrombin time more time to take blood to clot, according to this adjust the dose of warfarin</w:t>
      </w:r>
    </w:p>
    <w:p w:rsidR="00C64FC0" w:rsidRPr="00562743" w:rsidRDefault="00C64FC0" w:rsidP="00C64FC0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Prothrombin time is also called </w:t>
      </w:r>
      <w:r w:rsidRPr="00562743">
        <w:rPr>
          <w:rFonts w:ascii="Times New Roman" w:eastAsia="Times New Roman" w:hAnsi="Times New Roman" w:cs="Times New Roman"/>
          <w:b/>
          <w:sz w:val="24"/>
          <w:szCs w:val="24"/>
        </w:rPr>
        <w:t xml:space="preserve">INR 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>(International normalized ratio)</w:t>
      </w:r>
    </w:p>
    <w:p w:rsidR="00835CB9" w:rsidRPr="00562743" w:rsidRDefault="00835CB9" w:rsidP="00FD29FB">
      <w:p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Hysteresis:</w:t>
      </w:r>
    </w:p>
    <w:p w:rsidR="00835CB9" w:rsidRPr="00562743" w:rsidRDefault="00835CB9" w:rsidP="00835CB9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Time discordance in concentration versus effect</w:t>
      </w:r>
    </w:p>
    <w:p w:rsidR="00835CB9" w:rsidRPr="00562743" w:rsidRDefault="00835CB9" w:rsidP="00835CB9">
      <w:pPr>
        <w:pStyle w:val="ListParagraph"/>
        <w:numPr>
          <w:ilvl w:val="0"/>
          <w:numId w:val="1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Two types of hysteresis: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835CB9">
      <w:pPr>
        <w:pStyle w:val="ListParagraph"/>
        <w:numPr>
          <w:ilvl w:val="0"/>
          <w:numId w:val="16"/>
        </w:numPr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Clockwise hysteresis</w:t>
      </w:r>
    </w:p>
    <w:p w:rsidR="00FD29FB" w:rsidRPr="00562743" w:rsidRDefault="00835CB9" w:rsidP="00FD29FB">
      <w:pPr>
        <w:pStyle w:val="ListParagraph"/>
        <w:numPr>
          <w:ilvl w:val="0"/>
          <w:numId w:val="16"/>
        </w:numPr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Counter-clockwise hysteresis</w:t>
      </w:r>
    </w:p>
    <w:p w:rsidR="000A4983" w:rsidRPr="00562743" w:rsidRDefault="000A4983" w:rsidP="000A4983">
      <w:pPr>
        <w:pStyle w:val="ListParagraph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FD29FB">
      <w:pPr>
        <w:pStyle w:val="ListParagraph"/>
        <w:numPr>
          <w:ilvl w:val="0"/>
          <w:numId w:val="34"/>
        </w:numPr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lastRenderedPageBreak/>
        <w:t>Clockwise hysteresis:</w:t>
      </w:r>
    </w:p>
    <w:p w:rsidR="00835CB9" w:rsidRPr="00562743" w:rsidRDefault="00835CB9" w:rsidP="00835CB9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Depletion of substrate required for positive response</w:t>
      </w:r>
    </w:p>
    <w:p w:rsidR="00835CB9" w:rsidRPr="00562743" w:rsidRDefault="00835CB9" w:rsidP="00835CB9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Inhibitory metabolites are formed</w:t>
      </w:r>
    </w:p>
    <w:p w:rsidR="00835CB9" w:rsidRPr="00562743" w:rsidRDefault="00835CB9" w:rsidP="00835CB9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Response decreases with time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602CFC" wp14:editId="18E2E9A5">
            <wp:extent cx="3181350" cy="1533525"/>
            <wp:effectExtent l="0" t="0" r="0" b="9525"/>
            <wp:docPr id="5" name="Picture 2" descr="C:\Users\nice to meet yo`u\Desktop\Screenshot_20190519_013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nice to meet yo`u\Desktop\Screenshot_20190519_01321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33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758AF" w:rsidRPr="00562743" w:rsidRDefault="004758AF" w:rsidP="004758AF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Concentration (c</w:t>
      </w:r>
      <w:r w:rsidRPr="0056274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>) at this concentration response is decreased from E</w:t>
      </w:r>
      <w:r w:rsidRPr="0056274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 to E</w:t>
      </w:r>
      <w:r w:rsidRPr="0056274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 with the passage of time 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FD29FB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Counter-clockwise hysteresis: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835CB9" w:rsidP="00835CB9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Lag-time for distribution</w:t>
      </w:r>
    </w:p>
    <w:p w:rsidR="00835CB9" w:rsidRPr="00562743" w:rsidRDefault="00835CB9" w:rsidP="00835CB9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Active metabolites are formed</w:t>
      </w:r>
    </w:p>
    <w:p w:rsidR="00835CB9" w:rsidRPr="00562743" w:rsidRDefault="00835CB9" w:rsidP="00835CB9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Response increases with time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835CB9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EC08C2" wp14:editId="2FFF0C3F">
            <wp:extent cx="3048000" cy="1828800"/>
            <wp:effectExtent l="0" t="0" r="0" b="0"/>
            <wp:docPr id="3074" name="Picture 2" descr="C:\Users\nice to meet yo`u\Desktop\Screenshot_20190519_013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nice to meet yo`u\Desktop\Screenshot_20190519_01324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774" cy="183106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758AF" w:rsidRPr="00562743" w:rsidRDefault="004758AF" w:rsidP="004758AF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Concentration (c</w:t>
      </w:r>
      <w:r w:rsidRPr="0056274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>) at this concentration response is increased from E</w:t>
      </w:r>
      <w:r w:rsidRPr="0056274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 to E</w:t>
      </w:r>
      <w:r w:rsidRPr="0056274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 with the passage of time</w:t>
      </w:r>
    </w:p>
    <w:p w:rsidR="00835CB9" w:rsidRPr="00562743" w:rsidRDefault="00835CB9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4FC0" w:rsidRDefault="00C64FC0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743" w:rsidRPr="00562743" w:rsidRDefault="00562743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465B" w:rsidRPr="00562743" w:rsidRDefault="00C5465B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Applications:</w:t>
      </w:r>
    </w:p>
    <w:p w:rsidR="00835CB9" w:rsidRPr="00562743" w:rsidRDefault="00835CB9" w:rsidP="00835CB9">
      <w:pPr>
        <w:pStyle w:val="ListParagraph"/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</w:p>
    <w:p w:rsidR="000511CF" w:rsidRPr="00562743" w:rsidRDefault="001963F1" w:rsidP="000511CF">
      <w:pPr>
        <w:pStyle w:val="ListParagraph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lastRenderedPageBreak/>
        <w:t>Understand pharmacological events between drug administration &amp; outcome</w:t>
      </w:r>
    </w:p>
    <w:p w:rsidR="000511CF" w:rsidRPr="00562743" w:rsidRDefault="001963F1" w:rsidP="000511CF">
      <w:pPr>
        <w:pStyle w:val="ListParagraph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Distinguish relationship between PK &amp; PD</w:t>
      </w:r>
    </w:p>
    <w:p w:rsidR="003B5B5D" w:rsidRPr="00562743" w:rsidRDefault="001963F1" w:rsidP="00835CB9">
      <w:pPr>
        <w:pStyle w:val="ListParagraph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Explain causes for delay in drug effect</w:t>
      </w:r>
    </w:p>
    <w:p w:rsidR="003B5B5D" w:rsidRPr="00562743" w:rsidRDefault="001963F1" w:rsidP="001963F1">
      <w:pPr>
        <w:pStyle w:val="ListParagraph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Identify mechanism of action</w:t>
      </w:r>
    </w:p>
    <w:p w:rsidR="003B5B5D" w:rsidRPr="00562743" w:rsidRDefault="001963F1" w:rsidP="001963F1">
      <w:pPr>
        <w:pStyle w:val="ListParagraph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Estimate therapeutic window &amp; selection of dose</w:t>
      </w:r>
    </w:p>
    <w:p w:rsidR="00805752" w:rsidRPr="00562743" w:rsidRDefault="00805752" w:rsidP="0080575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05752" w:rsidRPr="00562743" w:rsidRDefault="00805752" w:rsidP="0080575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05752" w:rsidRPr="00562743" w:rsidRDefault="00805752" w:rsidP="00805752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05752" w:rsidRPr="00562743" w:rsidRDefault="00805752" w:rsidP="00805752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6274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Influence of fruit juices on drug disposition discrepancies between in vitro &amp; clinical studies:</w:t>
      </w:r>
    </w:p>
    <w:p w:rsidR="00805752" w:rsidRPr="00562743" w:rsidRDefault="00805752" w:rsidP="00805752">
      <w:pPr>
        <w:pStyle w:val="ListParagraph"/>
        <w:numPr>
          <w:ilvl w:val="0"/>
          <w:numId w:val="24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>Grapefruit juice is known to alter the pharmacokinetics of prescription drugs by increasing their bioavailabilities</w:t>
      </w: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5752" w:rsidRPr="00562743" w:rsidRDefault="00805752" w:rsidP="00805752">
      <w:pPr>
        <w:pStyle w:val="ListParagraph"/>
        <w:numPr>
          <w:ilvl w:val="0"/>
          <w:numId w:val="24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This article </w:t>
      </w:r>
      <w:proofErr w:type="gramStart"/>
      <w:r w:rsidRPr="00562743">
        <w:rPr>
          <w:rFonts w:ascii="Times New Roman" w:eastAsia="Times New Roman" w:hAnsi="Times New Roman" w:cs="Times New Roman"/>
          <w:sz w:val="24"/>
          <w:szCs w:val="24"/>
        </w:rPr>
        <w:t>review</w:t>
      </w:r>
      <w:proofErr w:type="gramEnd"/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 the literature on fruit juice-prescription drug interaction to determine which juice cause clinically significant interactions</w:t>
      </w: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5752" w:rsidRPr="00562743" w:rsidRDefault="00805752" w:rsidP="00805752">
      <w:pPr>
        <w:pStyle w:val="ListParagraph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Grapefruit juice caused several clinically significant interactions with cytochrome P4503A </w:t>
      </w:r>
      <w:proofErr w:type="gramStart"/>
      <w:r w:rsidRPr="00562743">
        <w:rPr>
          <w:rFonts w:ascii="Times New Roman" w:eastAsia="Times New Roman" w:hAnsi="Times New Roman" w:cs="Times New Roman"/>
          <w:sz w:val="24"/>
          <w:szCs w:val="24"/>
        </w:rPr>
        <w:t>( CYP</w:t>
      </w:r>
      <w:proofErr w:type="gramEnd"/>
      <w:r w:rsidRPr="00562743">
        <w:rPr>
          <w:rFonts w:ascii="Times New Roman" w:eastAsia="Times New Roman" w:hAnsi="Times New Roman" w:cs="Times New Roman"/>
          <w:sz w:val="24"/>
          <w:szCs w:val="24"/>
        </w:rPr>
        <w:t>3A )</w:t>
      </w: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05752" w:rsidRPr="00562743" w:rsidRDefault="00805752" w:rsidP="00805752">
      <w:pPr>
        <w:pStyle w:val="ListParagraph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OATP drug </w:t>
      </w:r>
      <w:proofErr w:type="gramStart"/>
      <w:r w:rsidRPr="00562743">
        <w:rPr>
          <w:rFonts w:ascii="Times New Roman" w:eastAsia="Times New Roman" w:hAnsi="Times New Roman" w:cs="Times New Roman"/>
          <w:sz w:val="24"/>
          <w:szCs w:val="24"/>
        </w:rPr>
        <w:t>( organic</w:t>
      </w:r>
      <w:proofErr w:type="gramEnd"/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 anion transporting polypeptide ) transporter was inhibited by grapefruit juice, orange juice &amp; apple juice</w:t>
      </w: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05752" w:rsidRPr="00562743" w:rsidRDefault="00805752" w:rsidP="00805752">
      <w:pPr>
        <w:pStyle w:val="ListParagraph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62743">
        <w:rPr>
          <w:rFonts w:ascii="Times New Roman" w:eastAsia="Times New Roman" w:hAnsi="Times New Roman" w:cs="Times New Roman"/>
          <w:sz w:val="24"/>
          <w:szCs w:val="24"/>
        </w:rPr>
        <w:t xml:space="preserve">Other fruit juices also interacted with drug metabolizing enzymes but more studies are needed to determine whether these interactions are clinically significant </w:t>
      </w: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C64FC0" w:rsidRPr="00562743" w:rsidRDefault="00C64FC0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C64FC0" w:rsidRPr="00562743" w:rsidRDefault="00C64FC0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D26642" w:rsidRPr="00562743" w:rsidRDefault="00D26642" w:rsidP="00D26642">
      <w:p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</w:pP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</w:t>
      </w:r>
      <w:r w:rsidRPr="0056274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  <w:u w:val="single"/>
        </w:rPr>
        <w:t>Reference:</w:t>
      </w:r>
    </w:p>
    <w:p w:rsidR="00D26642" w:rsidRPr="00562743" w:rsidRDefault="00562743" w:rsidP="00D26642">
      <w:pPr>
        <w:pStyle w:val="ListParagraph"/>
        <w:numPr>
          <w:ilvl w:val="0"/>
          <w:numId w:val="24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D26642" w:rsidRPr="00562743">
          <w:rPr>
            <w:rFonts w:ascii="Times New Roman" w:eastAsiaTheme="minorEastAsia" w:hAnsi="Times New Roman" w:cs="Times New Roman"/>
            <w:color w:val="000000" w:themeColor="text1"/>
            <w:kern w:val="24"/>
            <w:sz w:val="24"/>
            <w:szCs w:val="24"/>
            <w:u w:val="single"/>
          </w:rPr>
          <w:t>https</w:t>
        </w:r>
      </w:hyperlink>
      <w:hyperlink r:id="rId14" w:history="1">
        <w:r w:rsidR="00D26642" w:rsidRPr="00562743">
          <w:rPr>
            <w:rFonts w:ascii="Times New Roman" w:eastAsiaTheme="minorEastAsia" w:hAnsi="Times New Roman" w:cs="Times New Roman"/>
            <w:color w:val="000000" w:themeColor="text1"/>
            <w:kern w:val="24"/>
            <w:sz w:val="24"/>
            <w:szCs w:val="24"/>
            <w:u w:val="single"/>
          </w:rPr>
          <w:t>://Applied-Biopharmaceutics-Pharmacokinetics-Shargel-Biopharmaceuticals/dp/007160393X</w:t>
        </w:r>
      </w:hyperlink>
    </w:p>
    <w:p w:rsidR="00D26642" w:rsidRPr="00562743" w:rsidRDefault="00562743" w:rsidP="00D26642">
      <w:pPr>
        <w:pStyle w:val="ListParagraph"/>
        <w:numPr>
          <w:ilvl w:val="0"/>
          <w:numId w:val="24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D26642" w:rsidRPr="00562743">
          <w:rPr>
            <w:rFonts w:ascii="Times New Roman" w:eastAsiaTheme="minorEastAsia" w:hAnsi="Times New Roman" w:cs="Times New Roman"/>
            <w:color w:val="000000" w:themeColor="text1"/>
            <w:kern w:val="24"/>
            <w:sz w:val="24"/>
            <w:szCs w:val="24"/>
            <w:u w:val="single"/>
          </w:rPr>
          <w:t>https://</w:t>
        </w:r>
      </w:hyperlink>
      <w:hyperlink r:id="rId16" w:history="1">
        <w:r w:rsidR="00D26642" w:rsidRPr="00562743">
          <w:rPr>
            <w:rFonts w:ascii="Times New Roman" w:eastAsiaTheme="minorEastAsia" w:hAnsi="Times New Roman" w:cs="Times New Roman"/>
            <w:color w:val="000000" w:themeColor="text1"/>
            <w:kern w:val="24"/>
            <w:sz w:val="24"/>
            <w:szCs w:val="24"/>
            <w:u w:val="single"/>
          </w:rPr>
          <w:t>www.sciencedirect.com/topics/medicine-and-dentistry/drug-disposition</w:t>
        </w:r>
      </w:hyperlink>
    </w:p>
    <w:p w:rsidR="00D26642" w:rsidRPr="00562743" w:rsidRDefault="00562743" w:rsidP="00D26642">
      <w:pPr>
        <w:pStyle w:val="ListParagraph"/>
        <w:numPr>
          <w:ilvl w:val="0"/>
          <w:numId w:val="24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D26642" w:rsidRPr="00562743">
          <w:rPr>
            <w:rFonts w:ascii="Times New Roman" w:eastAsiaTheme="minorEastAsia" w:hAnsi="Times New Roman" w:cs="Times New Roman"/>
            <w:color w:val="000000" w:themeColor="text1"/>
            <w:kern w:val="24"/>
            <w:sz w:val="24"/>
            <w:szCs w:val="24"/>
            <w:u w:val="single"/>
          </w:rPr>
          <w:t>https://</w:t>
        </w:r>
      </w:hyperlink>
      <w:hyperlink r:id="rId18" w:history="1">
        <w:r w:rsidR="00D26642" w:rsidRPr="00562743">
          <w:rPr>
            <w:rFonts w:ascii="Times New Roman" w:eastAsiaTheme="minorEastAsia" w:hAnsi="Times New Roman" w:cs="Times New Roman"/>
            <w:color w:val="000000" w:themeColor="text1"/>
            <w:kern w:val="24"/>
            <w:sz w:val="24"/>
            <w:szCs w:val="24"/>
            <w:u w:val="single"/>
          </w:rPr>
          <w:t>www.tandfonline.com/doi/abs/10.1517/17425255.4.4.381</w:t>
        </w:r>
      </w:hyperlink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D26642" w:rsidRPr="00562743" w:rsidRDefault="00D26642" w:rsidP="00D2664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1963F1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1963F1" w:rsidRPr="00562743" w:rsidRDefault="001963F1" w:rsidP="001963F1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1963F1" w:rsidRPr="00562743" w:rsidRDefault="001963F1" w:rsidP="001963F1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35CB9" w:rsidRPr="00562743" w:rsidRDefault="00835CB9" w:rsidP="006A2034">
      <w:pPr>
        <w:pStyle w:val="ListParagraph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34" w:rsidRPr="00562743" w:rsidRDefault="006A2034" w:rsidP="006A2034">
      <w:pPr>
        <w:rPr>
          <w:rFonts w:ascii="Times New Roman" w:hAnsi="Times New Roman" w:cs="Times New Roman"/>
          <w:sz w:val="24"/>
          <w:szCs w:val="24"/>
        </w:rPr>
      </w:pPr>
    </w:p>
    <w:p w:rsidR="0098546E" w:rsidRPr="00562743" w:rsidRDefault="0098546E">
      <w:pPr>
        <w:rPr>
          <w:rFonts w:ascii="Times New Roman" w:hAnsi="Times New Roman" w:cs="Times New Roman"/>
          <w:sz w:val="24"/>
          <w:szCs w:val="24"/>
        </w:rPr>
      </w:pPr>
    </w:p>
    <w:sectPr w:rsidR="0098546E" w:rsidRPr="00562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62DE"/>
    <w:multiLevelType w:val="hybridMultilevel"/>
    <w:tmpl w:val="005AFB72"/>
    <w:lvl w:ilvl="0" w:tplc="EE2235C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="Gill Sans MT" w:cstheme="majorBidi" w:hint="default"/>
        <w:b/>
        <w:color w:val="000000" w:themeColor="text1"/>
        <w:sz w:val="3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73588"/>
    <w:multiLevelType w:val="hybridMultilevel"/>
    <w:tmpl w:val="D5B4FE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53B9"/>
    <w:multiLevelType w:val="hybridMultilevel"/>
    <w:tmpl w:val="AD0E9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0199"/>
    <w:multiLevelType w:val="hybridMultilevel"/>
    <w:tmpl w:val="418C1E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E097D4C"/>
    <w:multiLevelType w:val="hybridMultilevel"/>
    <w:tmpl w:val="BDC6EBFC"/>
    <w:lvl w:ilvl="0" w:tplc="156C4E86">
      <w:start w:val="1"/>
      <w:numFmt w:val="decimal"/>
      <w:lvlText w:val="%1."/>
      <w:lvlJc w:val="left"/>
      <w:pPr>
        <w:ind w:left="810" w:hanging="360"/>
      </w:pPr>
      <w:rPr>
        <w:rFonts w:asciiTheme="minorHAnsi" w:eastAsiaTheme="minorEastAsia" w:cstheme="minorBidi"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E8A595F"/>
    <w:multiLevelType w:val="hybridMultilevel"/>
    <w:tmpl w:val="6D48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22229"/>
    <w:multiLevelType w:val="hybridMultilevel"/>
    <w:tmpl w:val="8402C738"/>
    <w:lvl w:ilvl="0" w:tplc="300C8A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9C0B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E4E0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D045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F48F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4C59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2C0B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666C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13003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27D00EA5"/>
    <w:multiLevelType w:val="hybridMultilevel"/>
    <w:tmpl w:val="8BF22E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33ED1"/>
    <w:multiLevelType w:val="hybridMultilevel"/>
    <w:tmpl w:val="24E83A76"/>
    <w:lvl w:ilvl="0" w:tplc="346A4C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C842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0AB06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82BE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0CFA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22B9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5A44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9AE7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3249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34ED2E5B"/>
    <w:multiLevelType w:val="hybridMultilevel"/>
    <w:tmpl w:val="9B967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D29DE"/>
    <w:multiLevelType w:val="hybridMultilevel"/>
    <w:tmpl w:val="A76A3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26967"/>
    <w:multiLevelType w:val="hybridMultilevel"/>
    <w:tmpl w:val="DFA2FE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0D3379"/>
    <w:multiLevelType w:val="hybridMultilevel"/>
    <w:tmpl w:val="AC8CEA9A"/>
    <w:lvl w:ilvl="0" w:tplc="D026E4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B00A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20D1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34B0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6B258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9808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14FC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DC22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0CA9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40BF1059"/>
    <w:multiLevelType w:val="hybridMultilevel"/>
    <w:tmpl w:val="50CE4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E3644"/>
    <w:multiLevelType w:val="hybridMultilevel"/>
    <w:tmpl w:val="F4143FD4"/>
    <w:lvl w:ilvl="0" w:tplc="184EA8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3803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FC3C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46E5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3613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B43B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1847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F28C1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6A08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457D0237"/>
    <w:multiLevelType w:val="hybridMultilevel"/>
    <w:tmpl w:val="6E2AA924"/>
    <w:lvl w:ilvl="0" w:tplc="45C633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1E6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16B2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A4CD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CE64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20A0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0A81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B263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2645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46B309A2"/>
    <w:multiLevelType w:val="hybridMultilevel"/>
    <w:tmpl w:val="4FFC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F2882"/>
    <w:multiLevelType w:val="hybridMultilevel"/>
    <w:tmpl w:val="9F086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1013"/>
    <w:multiLevelType w:val="hybridMultilevel"/>
    <w:tmpl w:val="BD444A88"/>
    <w:lvl w:ilvl="0" w:tplc="A8F8C7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5E26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20F4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A563F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F023D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404C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D2852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26F8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12A5D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4FD96DD7"/>
    <w:multiLevelType w:val="hybridMultilevel"/>
    <w:tmpl w:val="66C4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223BC"/>
    <w:multiLevelType w:val="hybridMultilevel"/>
    <w:tmpl w:val="461E4D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8189C"/>
    <w:multiLevelType w:val="hybridMultilevel"/>
    <w:tmpl w:val="8904D95A"/>
    <w:lvl w:ilvl="0" w:tplc="EE76B6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A228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7248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3C13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B0E9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EBE4E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28D8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986C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140F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5B0515E3"/>
    <w:multiLevelType w:val="hybridMultilevel"/>
    <w:tmpl w:val="C91E104E"/>
    <w:lvl w:ilvl="0" w:tplc="D61689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BAA0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6893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CCB9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EAB3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C82F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2CE4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E843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10B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60822D7C"/>
    <w:multiLevelType w:val="hybridMultilevel"/>
    <w:tmpl w:val="4EF0A068"/>
    <w:lvl w:ilvl="0" w:tplc="3FD4F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0C74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5C6B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12C7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3580C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E098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42A8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D0CE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0D461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62BE5B53"/>
    <w:multiLevelType w:val="hybridMultilevel"/>
    <w:tmpl w:val="890C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423C6D"/>
    <w:multiLevelType w:val="hybridMultilevel"/>
    <w:tmpl w:val="D2940458"/>
    <w:lvl w:ilvl="0" w:tplc="F64C65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4A280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F6FC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38A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C069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90E5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C806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58C5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BC8F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70165E44"/>
    <w:multiLevelType w:val="hybridMultilevel"/>
    <w:tmpl w:val="549C40D8"/>
    <w:lvl w:ilvl="0" w:tplc="FCA0340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DE23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266A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8EF9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18BF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6EBB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561B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06F9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9CA7E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71C25E80"/>
    <w:multiLevelType w:val="hybridMultilevel"/>
    <w:tmpl w:val="4BBE392E"/>
    <w:lvl w:ilvl="0" w:tplc="E1BA2E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8E95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065E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EE09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B44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D6C9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7020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CDE70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C6D0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72F33428"/>
    <w:multiLevelType w:val="hybridMultilevel"/>
    <w:tmpl w:val="8A16D8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2174E"/>
    <w:multiLevelType w:val="hybridMultilevel"/>
    <w:tmpl w:val="BD2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4B690D"/>
    <w:multiLevelType w:val="hybridMultilevel"/>
    <w:tmpl w:val="A860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F7154"/>
    <w:multiLevelType w:val="hybridMultilevel"/>
    <w:tmpl w:val="CA4AF3E8"/>
    <w:lvl w:ilvl="0" w:tplc="BEA66E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4AE1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08C8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DA46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F061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003A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90E5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E20C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0C20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7C580EEB"/>
    <w:multiLevelType w:val="hybridMultilevel"/>
    <w:tmpl w:val="0BCA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62C9"/>
    <w:multiLevelType w:val="hybridMultilevel"/>
    <w:tmpl w:val="10B65FF4"/>
    <w:lvl w:ilvl="0" w:tplc="811802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163C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B29E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A25E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D545B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CAAD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D404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56BE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780B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22"/>
  </w:num>
  <w:num w:numId="3">
    <w:abstractNumId w:val="19"/>
  </w:num>
  <w:num w:numId="4">
    <w:abstractNumId w:val="7"/>
  </w:num>
  <w:num w:numId="5">
    <w:abstractNumId w:val="9"/>
  </w:num>
  <w:num w:numId="6">
    <w:abstractNumId w:val="1"/>
  </w:num>
  <w:num w:numId="7">
    <w:abstractNumId w:val="16"/>
  </w:num>
  <w:num w:numId="8">
    <w:abstractNumId w:val="2"/>
  </w:num>
  <w:num w:numId="9">
    <w:abstractNumId w:val="32"/>
  </w:num>
  <w:num w:numId="10">
    <w:abstractNumId w:val="28"/>
  </w:num>
  <w:num w:numId="11">
    <w:abstractNumId w:val="17"/>
  </w:num>
  <w:num w:numId="12">
    <w:abstractNumId w:val="29"/>
  </w:num>
  <w:num w:numId="13">
    <w:abstractNumId w:val="13"/>
  </w:num>
  <w:num w:numId="14">
    <w:abstractNumId w:val="12"/>
  </w:num>
  <w:num w:numId="15">
    <w:abstractNumId w:val="15"/>
  </w:num>
  <w:num w:numId="16">
    <w:abstractNumId w:val="20"/>
  </w:num>
  <w:num w:numId="17">
    <w:abstractNumId w:val="26"/>
  </w:num>
  <w:num w:numId="18">
    <w:abstractNumId w:val="30"/>
  </w:num>
  <w:num w:numId="19">
    <w:abstractNumId w:val="8"/>
  </w:num>
  <w:num w:numId="20">
    <w:abstractNumId w:val="6"/>
  </w:num>
  <w:num w:numId="21">
    <w:abstractNumId w:val="18"/>
  </w:num>
  <w:num w:numId="22">
    <w:abstractNumId w:val="21"/>
  </w:num>
  <w:num w:numId="23">
    <w:abstractNumId w:val="14"/>
  </w:num>
  <w:num w:numId="24">
    <w:abstractNumId w:val="5"/>
  </w:num>
  <w:num w:numId="25">
    <w:abstractNumId w:val="27"/>
  </w:num>
  <w:num w:numId="26">
    <w:abstractNumId w:val="11"/>
  </w:num>
  <w:num w:numId="27">
    <w:abstractNumId w:val="10"/>
  </w:num>
  <w:num w:numId="28">
    <w:abstractNumId w:val="24"/>
  </w:num>
  <w:num w:numId="29">
    <w:abstractNumId w:val="23"/>
  </w:num>
  <w:num w:numId="30">
    <w:abstractNumId w:val="25"/>
  </w:num>
  <w:num w:numId="31">
    <w:abstractNumId w:val="33"/>
  </w:num>
  <w:num w:numId="32">
    <w:abstractNumId w:val="31"/>
  </w:num>
  <w:num w:numId="33">
    <w:abstractNumId w:val="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97"/>
    <w:rsid w:val="000511CF"/>
    <w:rsid w:val="000A4983"/>
    <w:rsid w:val="001963F1"/>
    <w:rsid w:val="003B5B5D"/>
    <w:rsid w:val="004758AF"/>
    <w:rsid w:val="00562743"/>
    <w:rsid w:val="005D4597"/>
    <w:rsid w:val="006A2034"/>
    <w:rsid w:val="00805752"/>
    <w:rsid w:val="00835CB9"/>
    <w:rsid w:val="0098546E"/>
    <w:rsid w:val="0099170D"/>
    <w:rsid w:val="00A313B8"/>
    <w:rsid w:val="00C5465B"/>
    <w:rsid w:val="00C64FC0"/>
    <w:rsid w:val="00D26642"/>
    <w:rsid w:val="00F956D8"/>
    <w:rsid w:val="00FD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71FD"/>
  <w15:docId w15:val="{6F658C74-DE2C-48EE-AE29-B7236BB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03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170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70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70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70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70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170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70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70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70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70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170D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70D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70D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70D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170D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70D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70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70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9170D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9170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9170D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70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9170D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99170D"/>
    <w:rPr>
      <w:b/>
      <w:bCs/>
    </w:rPr>
  </w:style>
  <w:style w:type="character" w:styleId="Emphasis">
    <w:name w:val="Emphasis"/>
    <w:uiPriority w:val="20"/>
    <w:qFormat/>
    <w:rsid w:val="0099170D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99170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9170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99170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9170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9170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70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70D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99170D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99170D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99170D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99170D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99170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170D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3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2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96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052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410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20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79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89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49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82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1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30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911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240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47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6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595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49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1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3874">
          <w:marLeft w:val="128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5718">
          <w:marLeft w:val="128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8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28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applied-biopharmaceutics-pharmacokinetics-shargel-biopharmaceuticals/dp/007160393X" TargetMode="External"/><Relationship Id="rId18" Type="http://schemas.openxmlformats.org/officeDocument/2006/relationships/hyperlink" Target="https://www.tandfonline.com/doi/abs/10.1517/17425255.4.4.38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s://www.tandfonline.com/doi/abs/10.1517/17425255.4.4.3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ciencedirect.com/topics/medicine-and-dentistry/drug-dispositio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mailto:drimranmasood@iub.edu.pk" TargetMode="External"/><Relationship Id="rId15" Type="http://schemas.openxmlformats.org/officeDocument/2006/relationships/hyperlink" Target="https://www.sciencedirect.com/topics/medicine-and-dentistry/drug-disposition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applied-biopharmaceutics-pharmacokinetics-shargel-biopharmaceuticals/dp/007160393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11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nice to meet yo`u</dc:creator>
  <cp:keywords/>
  <dc:description/>
  <cp:lastModifiedBy>Grace</cp:lastModifiedBy>
  <cp:revision>19</cp:revision>
  <dcterms:created xsi:type="dcterms:W3CDTF">2019-06-11T04:28:00Z</dcterms:created>
  <dcterms:modified xsi:type="dcterms:W3CDTF">2020-03-31T12:50:00Z</dcterms:modified>
</cp:coreProperties>
</file>